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</w:t>
      </w:r>
      <w:r>
        <w:rPr>
          <w:rFonts w:ascii="FreeSerif" w:hAnsi="FreeSerif" w:eastAsia="FreeSerif" w:cs="FreeSerif"/>
          <w:sz w:val="28"/>
          <w:szCs w:val="28"/>
        </w:rPr>
        <w:t xml:space="preserve"> 1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ЖДЕН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ешени</w:t>
      </w:r>
      <w:r>
        <w:rPr>
          <w:rFonts w:ascii="FreeSerif" w:hAnsi="FreeSerif" w:eastAsia="FreeSerif" w:cs="FreeSerif"/>
          <w:sz w:val="28"/>
          <w:szCs w:val="28"/>
        </w:rPr>
        <w:t xml:space="preserve">ем</w:t>
      </w:r>
      <w:r>
        <w:rPr>
          <w:rFonts w:ascii="FreeSerif" w:hAnsi="FreeSerif" w:eastAsia="FreeSerif" w:cs="FreeSerif"/>
          <w:sz w:val="28"/>
          <w:szCs w:val="28"/>
        </w:rPr>
        <w:t xml:space="preserve">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4536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25.12.2025 г. </w:t>
      </w:r>
      <w:r>
        <w:rPr>
          <w:rFonts w:ascii="FreeSerif" w:hAnsi="FreeSerif" w:eastAsia="FreeSerif" w:cs="FreeSerif"/>
          <w:sz w:val="28"/>
          <w:szCs w:val="28"/>
        </w:rPr>
        <w:t xml:space="preserve">№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cs="FreeSerif"/>
          <w:sz w:val="28"/>
          <w:szCs w:val="28"/>
        </w:rPr>
        <w:t xml:space="preserve">140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left="5760" w:right="818"/>
        <w:jc w:val="center"/>
        <w:tabs>
          <w:tab w:val="left" w:pos="900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Объем поступлений доходов в бюджет муниципального</w:t>
      </w:r>
      <w:r>
        <w:rPr>
          <w:rFonts w:ascii="FreeSerif" w:hAnsi="FreeSerif" w:eastAsia="FreeSerif" w:cs="FreeSerif"/>
          <w:sz w:val="28"/>
          <w:szCs w:val="28"/>
        </w:rPr>
        <w:t xml:space="preserve"> образования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по кодам видов (подвидов)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ходов </w:t>
      </w:r>
      <w:r>
        <w:rPr>
          <w:rFonts w:ascii="FreeSerif" w:hAnsi="FreeSerif" w:eastAsia="FreeSerif" w:cs="FreeSerif"/>
          <w:sz w:val="28"/>
          <w:szCs w:val="28"/>
        </w:rPr>
        <w:t xml:space="preserve">на 202</w:t>
      </w:r>
      <w:r>
        <w:rPr>
          <w:rFonts w:ascii="FreeSerif" w:hAnsi="FreeSerif" w:eastAsia="FreeSerif" w:cs="FreeSerif"/>
          <w:sz w:val="28"/>
          <w:szCs w:val="28"/>
        </w:rPr>
        <w:t xml:space="preserve">6</w:t>
      </w:r>
      <w:r>
        <w:rPr>
          <w:rFonts w:ascii="FreeSerif" w:hAnsi="FreeSerif" w:eastAsia="FreeSerif" w:cs="FreeSerif"/>
          <w:sz w:val="28"/>
          <w:szCs w:val="28"/>
        </w:rPr>
        <w:t xml:space="preserve"> год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0"/>
        <w:ind w:right="98"/>
        <w:jc w:val="center"/>
        <w:spacing w:line="228" w:lineRule="auto"/>
        <w:tabs>
          <w:tab w:val="left" w:pos="0" w:leader="none"/>
        </w:tabs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80"/>
        <w:ind w:left="7080" w:right="-82" w:firstLine="708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(тыс. рублей)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tbl>
      <w:tblPr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2660"/>
        <w:gridCol w:w="5420"/>
        <w:gridCol w:w="141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Код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Наименование групп, подгрупп, статей, подст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тей, элементов, программ (подпрограмм), кодов экон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мической классификации доходов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Годовое назначение 2026 г.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1 00 00000 00 0000 000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Доходы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1 399 111,9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1 01 00000 00 0000 000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Налоги на прибыль, доходы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932 613,0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1 01 01000 00 0000 110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 на прибыль организаций, зачисляемый в бюджеты субъектов Российской Федерации 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23 155,0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1 01 02000 01 0000 110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 на доходы физических лиц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909 458,0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75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1 03 00000 00 0000 000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Налоги на товары (работы, услуги), реализуемые на территории Росси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й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ской Федерации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47 264,9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1 03 02230 01 0000 110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vMerge w:val="restart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Доходы от уплаты акцизов на нефтепродукты, производимые на территории Российской Фед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рации, подлежащие распределению между бю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д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жетами субъектов Российской Федерации и мес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ными бюджетами с учетом дифференцированных нормативов отчислений в местные бюдж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ты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vMerge w:val="restart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47 264,9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1 03 02240 01 0000 110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1 03 02250 01 0000 110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1 03 02260 01 0000 110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vMerge w:val="continue"/>
            <w:textDirection w:val="lrTb"/>
            <w:noWrap w:val="false"/>
          </w:tcPr>
          <w:p>
            <w:pPr>
              <w:pStyle w:val="880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  <w:tc>
          <w:tcPr>
            <w:tcW w:w="1418" w:type="dxa"/>
            <w:vAlign w:val="center"/>
            <w:vMerge w:val="continue"/>
            <w:textDirection w:val="lrTb"/>
            <w:noWrap w:val="false"/>
          </w:tcPr>
          <w:p>
            <w:pPr>
              <w:pStyle w:val="880"/>
              <w:jc w:val="right"/>
              <w:rPr>
                <w:color w:val="000000"/>
              </w:rP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>
              <w:rPr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1 05 00000 00 0000 000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Налоги на совокупный доход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231 828,0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1 05 01000 00 0000 110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Налог, взимаемый в связи с применением упр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щенной системы нал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о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гообложения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147 900,0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1 05 03000 01 0000 110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Единый сельскохозяйственный налог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59 928,0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1 05 04060 02 0000 110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Налог, взимаемый в связи с применением патен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ной системы налогообложения, зачисляемый в бюджеты муниципал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ь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ных округов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24 000,0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1 06 01020 14 0000 110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 на имущество физич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ских лиц, взимаемый по ставкам, применяемым к объектам налогоо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б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ложения, расположенным в границах муниц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пальных округов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54 060,0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1 06 02000 02 0000 110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Налог на имущество организ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ций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2 632,0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1 06 06032 14 0000 110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Земельный налог с организаций, обладающих з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мельным участком, расположенным в границах муниципальных окр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гов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37 332,0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1 06 06042 14 0000 110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Земельный налог с физических лиц, обладающих земельным участком, расположенным в границах муниципальных окр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гов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33 150,0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1 08 00000 00 0000 000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Госпошлина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26 010,0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1 11 05000 00 0000 120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Арендная плата за земли 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30 246,0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1 11 09044 14 0000 120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Прочие поступления от использования имущ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ства, находящегося в собственности муниципал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ь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ных округов (за исключением имущества мун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ципальных бюджетных и автономных учрежд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ний, а также имущества муниципальных унита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р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ных предприятий, в том числе к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а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зенных)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1 016,4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1 11 05074 14 0000 120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Доходы от сдачи в аренду имущества, составл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я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ющего казну муниципальных округов (за искл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ю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чением земельных учас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т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ков)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1 008,0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1 13 01994 14 0000 130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Прочие доходы от оказания платных услуг (работ) получателями средств бюджетов м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у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ниципальных округов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1 269,0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327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1 16 00000 00 0000 000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Денежные взыскания (штрафы), санкции, возм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щение ущерба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682,6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2 00 00000 00 0000 000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Безвозмездные поступления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1 770 948,3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4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2 02 10000 00 0000 150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Дотации бюджетам бюджетной системы Росси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й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ской Федерации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198 719,1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2 02 20000 00 0000 150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Субсидии бюджетам бюджетной системы Росси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й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ской Федерации (межбюджетные субс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и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дии)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170 029,8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0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2 02 30000 00 0000 150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Субвенции бюджетам бюджетной системы Ро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сийской Фед</w:t>
            </w:r>
            <w:r>
              <w:rPr>
                <w:rFonts w:ascii="FreeSerif" w:hAnsi="FreeSerif" w:eastAsia="FreeSerif" w:cs="FreeSerif"/>
                <w:color w:val="000000"/>
              </w:rPr>
              <w:t xml:space="preserve">е</w:t>
            </w:r>
            <w:r>
              <w:rPr>
                <w:rFonts w:ascii="FreeSerif" w:hAnsi="FreeSerif" w:eastAsia="FreeSerif" w:cs="FreeSerif"/>
                <w:color w:val="000000"/>
              </w:rPr>
              <w:t xml:space="preserve">рации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color w:val="000000"/>
              </w:rPr>
            </w:pPr>
            <w:r>
              <w:rPr>
                <w:rFonts w:ascii="FreeSerif" w:hAnsi="FreeSerif" w:eastAsia="FreeSerif" w:cs="FreeSerif"/>
                <w:color w:val="000000"/>
              </w:rPr>
              <w:t xml:space="preserve">1 402 199,4</w:t>
            </w:r>
            <w:r>
              <w:rPr>
                <w:rFonts w:ascii="FreeSerif" w:hAnsi="FreeSerif" w:cs="FreeSerif"/>
                <w:color w:val="000000"/>
              </w:rPr>
            </w:r>
            <w:r>
              <w:rPr>
                <w:rFonts w:ascii="FreeSerif" w:hAnsi="FreeSerif" w:cs="FreeSerif"/>
                <w:color w:val="000000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78"/>
        </w:trPr>
        <w:tc>
          <w:tcPr>
            <w:tcW w:w="266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bCs/>
                <w:color w:val="000000"/>
              </w:rPr>
            </w:pPr>
            <w:r>
              <w:rPr>
                <w:rFonts w:ascii="FreeSerif" w:hAnsi="FreeSerif" w:eastAsia="FreeSerif" w:cs="FreeSerif"/>
                <w:bCs/>
                <w:color w:val="000000"/>
              </w:rPr>
              <w:t xml:space="preserve"> </w:t>
            </w:r>
            <w:r>
              <w:rPr>
                <w:rFonts w:ascii="FreeSerif" w:hAnsi="FreeSerif" w:cs="FreeSerif"/>
                <w:bCs/>
                <w:color w:val="000000"/>
              </w:rPr>
            </w:r>
            <w:r>
              <w:rPr>
                <w:rFonts w:ascii="FreeSerif" w:hAnsi="FreeSerif" w:cs="FreeSerif"/>
                <w:bCs/>
                <w:color w:val="000000"/>
              </w:rPr>
            </w:r>
          </w:p>
        </w:tc>
        <w:tc>
          <w:tcPr>
            <w:tcW w:w="5420" w:type="dxa"/>
            <w:vAlign w:val="top"/>
            <w:textDirection w:val="lrTb"/>
            <w:noWrap w:val="false"/>
          </w:tcPr>
          <w:p>
            <w:pPr>
              <w:pStyle w:val="880"/>
              <w:rPr>
                <w:rFonts w:ascii="FreeSerif" w:hAnsi="FreeSerif" w:cs="FreeSerif"/>
                <w:bCs/>
                <w:color w:val="000000"/>
              </w:rPr>
            </w:pPr>
            <w:r>
              <w:rPr>
                <w:rFonts w:ascii="FreeSerif" w:hAnsi="FreeSerif" w:eastAsia="FreeSerif" w:cs="FreeSerif"/>
                <w:bCs/>
                <w:color w:val="000000"/>
              </w:rPr>
              <w:t xml:space="preserve">Всего доходов</w:t>
            </w:r>
            <w:r>
              <w:rPr>
                <w:rFonts w:ascii="FreeSerif" w:hAnsi="FreeSerif" w:cs="FreeSerif"/>
                <w:bCs/>
                <w:color w:val="000000"/>
              </w:rPr>
            </w:r>
            <w:r>
              <w:rPr>
                <w:rFonts w:ascii="FreeSerif" w:hAnsi="FreeSerif" w:cs="FreeSerif"/>
                <w:bCs/>
                <w:color w:val="000000"/>
              </w:rPr>
            </w:r>
          </w:p>
        </w:tc>
        <w:tc>
          <w:tcPr>
            <w:tcW w:w="1418" w:type="dxa"/>
            <w:vAlign w:val="center"/>
            <w:textDirection w:val="lrTb"/>
            <w:noWrap w:val="false"/>
          </w:tcPr>
          <w:p>
            <w:pPr>
              <w:pStyle w:val="880"/>
              <w:jc w:val="right"/>
              <w:rPr>
                <w:rFonts w:ascii="FreeSerif" w:hAnsi="FreeSerif" w:cs="FreeSerif"/>
                <w:bCs/>
                <w:color w:val="000000"/>
              </w:rPr>
            </w:pPr>
            <w:r>
              <w:rPr>
                <w:rFonts w:ascii="FreeSerif" w:hAnsi="FreeSerif" w:eastAsia="FreeSerif" w:cs="FreeSerif"/>
                <w:bCs/>
                <w:color w:val="000000"/>
              </w:rPr>
              <w:t xml:space="preserve">3 170 060,2</w:t>
            </w:r>
            <w:r>
              <w:rPr>
                <w:rFonts w:ascii="FreeSerif" w:hAnsi="FreeSerif" w:cs="FreeSerif"/>
                <w:bCs/>
                <w:color w:val="000000"/>
              </w:rPr>
            </w:r>
            <w:r>
              <w:rPr>
                <w:rFonts w:ascii="FreeSerif" w:hAnsi="FreeSerif" w:cs="FreeSerif"/>
                <w:bCs/>
                <w:color w:val="000000"/>
              </w:rPr>
            </w:r>
          </w:p>
        </w:tc>
      </w:tr>
    </w:tbl>
    <w:p>
      <w:pPr>
        <w:pStyle w:val="88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Заместитель главы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униципального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, начальник финансового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у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правления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администрации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                  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С.В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Терт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ца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sectPr>
      <w:headerReference w:type="default" r:id="rId8"/>
      <w:headerReference w:type="even" r:id="rId9"/>
      <w:headerReference w:type="first" r:id="rId10"/>
      <w:footnotePr/>
      <w:endnotePr/>
      <w:type w:val="nextPage"/>
      <w:pgSz w:w="11906" w:h="16838" w:orient="portrait"/>
      <w:pgMar w:top="567" w:right="624" w:bottom="1134" w:left="1701" w:header="283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2</w: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5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>
      <w:rPr>
        <w:rStyle w:val="887"/>
      </w:rPr>
    </w:r>
  </w:p>
  <w:p>
    <w:pPr>
      <w:pStyle w:val="88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30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2">
    <w:name w:val="Heading 1"/>
    <w:basedOn w:val="880"/>
    <w:next w:val="880"/>
    <w:link w:val="7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03">
    <w:name w:val="Heading 1 Char"/>
    <w:link w:val="702"/>
    <w:uiPriority w:val="9"/>
    <w:rPr>
      <w:rFonts w:ascii="Arial" w:hAnsi="Arial" w:eastAsia="Arial" w:cs="Arial"/>
      <w:sz w:val="40"/>
      <w:szCs w:val="40"/>
    </w:rPr>
  </w:style>
  <w:style w:type="paragraph" w:styleId="704">
    <w:name w:val="Heading 2"/>
    <w:basedOn w:val="880"/>
    <w:next w:val="880"/>
    <w:link w:val="7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5">
    <w:name w:val="Heading 2 Char"/>
    <w:link w:val="704"/>
    <w:uiPriority w:val="9"/>
    <w:rPr>
      <w:rFonts w:ascii="Arial" w:hAnsi="Arial" w:eastAsia="Arial" w:cs="Arial"/>
      <w:sz w:val="34"/>
    </w:rPr>
  </w:style>
  <w:style w:type="paragraph" w:styleId="706">
    <w:name w:val="Heading 3"/>
    <w:basedOn w:val="880"/>
    <w:next w:val="880"/>
    <w:link w:val="7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7">
    <w:name w:val="Heading 3 Char"/>
    <w:link w:val="706"/>
    <w:uiPriority w:val="9"/>
    <w:rPr>
      <w:rFonts w:ascii="Arial" w:hAnsi="Arial" w:eastAsia="Arial" w:cs="Arial"/>
      <w:sz w:val="30"/>
      <w:szCs w:val="30"/>
    </w:rPr>
  </w:style>
  <w:style w:type="paragraph" w:styleId="708">
    <w:name w:val="Heading 4"/>
    <w:basedOn w:val="880"/>
    <w:next w:val="880"/>
    <w:link w:val="7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9">
    <w:name w:val="Heading 4 Char"/>
    <w:link w:val="708"/>
    <w:uiPriority w:val="9"/>
    <w:rPr>
      <w:rFonts w:ascii="Arial" w:hAnsi="Arial" w:eastAsia="Arial" w:cs="Arial"/>
      <w:b/>
      <w:bCs/>
      <w:sz w:val="26"/>
      <w:szCs w:val="26"/>
    </w:rPr>
  </w:style>
  <w:style w:type="paragraph" w:styleId="710">
    <w:name w:val="Heading 5"/>
    <w:basedOn w:val="880"/>
    <w:next w:val="880"/>
    <w:link w:val="7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1">
    <w:name w:val="Heading 5 Char"/>
    <w:link w:val="710"/>
    <w:uiPriority w:val="9"/>
    <w:rPr>
      <w:rFonts w:ascii="Arial" w:hAnsi="Arial" w:eastAsia="Arial" w:cs="Arial"/>
      <w:b/>
      <w:bCs/>
      <w:sz w:val="24"/>
      <w:szCs w:val="24"/>
    </w:rPr>
  </w:style>
  <w:style w:type="paragraph" w:styleId="712">
    <w:name w:val="Heading 6"/>
    <w:basedOn w:val="880"/>
    <w:next w:val="880"/>
    <w:link w:val="7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3">
    <w:name w:val="Heading 6 Char"/>
    <w:link w:val="712"/>
    <w:uiPriority w:val="9"/>
    <w:rPr>
      <w:rFonts w:ascii="Arial" w:hAnsi="Arial" w:eastAsia="Arial" w:cs="Arial"/>
      <w:b/>
      <w:bCs/>
      <w:sz w:val="22"/>
      <w:szCs w:val="22"/>
    </w:rPr>
  </w:style>
  <w:style w:type="paragraph" w:styleId="714">
    <w:name w:val="Heading 7"/>
    <w:basedOn w:val="880"/>
    <w:next w:val="880"/>
    <w:link w:val="7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5">
    <w:name w:val="Heading 7 Char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6">
    <w:name w:val="Heading 8"/>
    <w:basedOn w:val="880"/>
    <w:next w:val="880"/>
    <w:link w:val="7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7">
    <w:name w:val="Heading 8 Char"/>
    <w:link w:val="716"/>
    <w:uiPriority w:val="9"/>
    <w:rPr>
      <w:rFonts w:ascii="Arial" w:hAnsi="Arial" w:eastAsia="Arial" w:cs="Arial"/>
      <w:i/>
      <w:iCs/>
      <w:sz w:val="22"/>
      <w:szCs w:val="22"/>
    </w:rPr>
  </w:style>
  <w:style w:type="paragraph" w:styleId="718">
    <w:name w:val="Heading 9"/>
    <w:basedOn w:val="880"/>
    <w:next w:val="880"/>
    <w:link w:val="7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9">
    <w:name w:val="Heading 9 Char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0">
    <w:name w:val="List Paragraph"/>
    <w:basedOn w:val="880"/>
    <w:uiPriority w:val="34"/>
    <w:qFormat/>
    <w:pPr>
      <w:contextualSpacing/>
      <w:ind w:left="720"/>
    </w:pPr>
  </w:style>
  <w:style w:type="paragraph" w:styleId="721">
    <w:name w:val="No Spacing"/>
    <w:uiPriority w:val="1"/>
    <w:qFormat/>
    <w:pPr>
      <w:spacing w:before="0" w:after="0" w:line="240" w:lineRule="auto"/>
    </w:pPr>
  </w:style>
  <w:style w:type="paragraph" w:styleId="722">
    <w:name w:val="Title"/>
    <w:basedOn w:val="880"/>
    <w:next w:val="880"/>
    <w:link w:val="7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basedOn w:val="880"/>
    <w:next w:val="880"/>
    <w:link w:val="725"/>
    <w:uiPriority w:val="11"/>
    <w:qFormat/>
    <w:pPr>
      <w:spacing w:before="200" w:after="200"/>
    </w:pPr>
    <w:rPr>
      <w:sz w:val="24"/>
      <w:szCs w:val="24"/>
    </w:r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basedOn w:val="880"/>
    <w:next w:val="880"/>
    <w:link w:val="727"/>
    <w:uiPriority w:val="29"/>
    <w:qFormat/>
    <w:pPr>
      <w:ind w:left="720" w:right="720"/>
    </w:pPr>
    <w:rPr>
      <w:i/>
    </w:r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basedOn w:val="880"/>
    <w:next w:val="880"/>
    <w:link w:val="7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basedOn w:val="880"/>
    <w:link w:val="7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basedOn w:val="880"/>
    <w:link w:val="7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basedOn w:val="880"/>
    <w:next w:val="8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basedOn w:val="880"/>
    <w:link w:val="864"/>
    <w:uiPriority w:val="99"/>
    <w:semiHidden/>
    <w:unhideWhenUsed/>
    <w:pPr>
      <w:spacing w:after="40" w:line="240" w:lineRule="auto"/>
    </w:pPr>
    <w:rPr>
      <w:sz w:val="18"/>
    </w:r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basedOn w:val="880"/>
    <w:link w:val="867"/>
    <w:uiPriority w:val="99"/>
    <w:semiHidden/>
    <w:unhideWhenUsed/>
    <w:pPr>
      <w:spacing w:after="0" w:line="240" w:lineRule="auto"/>
    </w:pPr>
    <w:rPr>
      <w:sz w:val="20"/>
    </w:r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basedOn w:val="880"/>
    <w:next w:val="880"/>
    <w:uiPriority w:val="39"/>
    <w:unhideWhenUsed/>
    <w:pPr>
      <w:ind w:left="0" w:right="0" w:firstLine="0"/>
      <w:spacing w:after="57"/>
    </w:pPr>
  </w:style>
  <w:style w:type="paragraph" w:styleId="870">
    <w:name w:val="toc 2"/>
    <w:basedOn w:val="880"/>
    <w:next w:val="880"/>
    <w:uiPriority w:val="39"/>
    <w:unhideWhenUsed/>
    <w:pPr>
      <w:ind w:left="283" w:right="0" w:firstLine="0"/>
      <w:spacing w:after="57"/>
    </w:pPr>
  </w:style>
  <w:style w:type="paragraph" w:styleId="871">
    <w:name w:val="toc 3"/>
    <w:basedOn w:val="880"/>
    <w:next w:val="880"/>
    <w:uiPriority w:val="39"/>
    <w:unhideWhenUsed/>
    <w:pPr>
      <w:ind w:left="567" w:right="0" w:firstLine="0"/>
      <w:spacing w:after="57"/>
    </w:pPr>
  </w:style>
  <w:style w:type="paragraph" w:styleId="872">
    <w:name w:val="toc 4"/>
    <w:basedOn w:val="880"/>
    <w:next w:val="880"/>
    <w:uiPriority w:val="39"/>
    <w:unhideWhenUsed/>
    <w:pPr>
      <w:ind w:left="850" w:right="0" w:firstLine="0"/>
      <w:spacing w:after="57"/>
    </w:pPr>
  </w:style>
  <w:style w:type="paragraph" w:styleId="873">
    <w:name w:val="toc 5"/>
    <w:basedOn w:val="880"/>
    <w:next w:val="880"/>
    <w:uiPriority w:val="39"/>
    <w:unhideWhenUsed/>
    <w:pPr>
      <w:ind w:left="1134" w:right="0" w:firstLine="0"/>
      <w:spacing w:after="57"/>
    </w:pPr>
  </w:style>
  <w:style w:type="paragraph" w:styleId="874">
    <w:name w:val="toc 6"/>
    <w:basedOn w:val="880"/>
    <w:next w:val="880"/>
    <w:uiPriority w:val="39"/>
    <w:unhideWhenUsed/>
    <w:pPr>
      <w:ind w:left="1417" w:right="0" w:firstLine="0"/>
      <w:spacing w:after="57"/>
    </w:pPr>
  </w:style>
  <w:style w:type="paragraph" w:styleId="875">
    <w:name w:val="toc 7"/>
    <w:basedOn w:val="880"/>
    <w:next w:val="880"/>
    <w:uiPriority w:val="39"/>
    <w:unhideWhenUsed/>
    <w:pPr>
      <w:ind w:left="1701" w:right="0" w:firstLine="0"/>
      <w:spacing w:after="57"/>
    </w:pPr>
  </w:style>
  <w:style w:type="paragraph" w:styleId="876">
    <w:name w:val="toc 8"/>
    <w:basedOn w:val="880"/>
    <w:next w:val="880"/>
    <w:uiPriority w:val="39"/>
    <w:unhideWhenUsed/>
    <w:pPr>
      <w:ind w:left="1984" w:right="0" w:firstLine="0"/>
      <w:spacing w:after="57"/>
    </w:pPr>
  </w:style>
  <w:style w:type="paragraph" w:styleId="877">
    <w:name w:val="toc 9"/>
    <w:basedOn w:val="880"/>
    <w:next w:val="880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basedOn w:val="880"/>
    <w:next w:val="880"/>
    <w:uiPriority w:val="99"/>
    <w:unhideWhenUsed/>
    <w:pPr>
      <w:spacing w:after="0" w:afterAutospacing="0"/>
    </w:pPr>
  </w:style>
  <w:style w:type="paragraph" w:styleId="880" w:default="1">
    <w:name w:val="Normal"/>
    <w:next w:val="880"/>
    <w:link w:val="880"/>
    <w:qFormat/>
    <w:rPr>
      <w:sz w:val="24"/>
      <w:szCs w:val="24"/>
      <w:lang w:val="ru-RU" w:eastAsia="ru-RU" w:bidi="ar-SA"/>
    </w:rPr>
  </w:style>
  <w:style w:type="paragraph" w:styleId="881">
    <w:name w:val="Заголовок 3"/>
    <w:basedOn w:val="880"/>
    <w:next w:val="880"/>
    <w:link w:val="880"/>
    <w:qFormat/>
    <w:pPr>
      <w:keepNext/>
      <w:outlineLvl w:val="2"/>
    </w:pPr>
    <w:rPr>
      <w:b/>
      <w:bCs/>
      <w:color w:val="000000"/>
      <w:szCs w:val="28"/>
    </w:rPr>
  </w:style>
  <w:style w:type="character" w:styleId="882">
    <w:name w:val="Основной шрифт абзаца"/>
    <w:next w:val="882"/>
    <w:link w:val="880"/>
    <w:semiHidden/>
  </w:style>
  <w:style w:type="table" w:styleId="883">
    <w:name w:val="Обычная таблица"/>
    <w:next w:val="883"/>
    <w:link w:val="880"/>
    <w:semiHidden/>
    <w:tblPr/>
  </w:style>
  <w:style w:type="numbering" w:styleId="884">
    <w:name w:val="Нет списка"/>
    <w:next w:val="884"/>
    <w:link w:val="880"/>
    <w:semiHidden/>
  </w:style>
  <w:style w:type="paragraph" w:styleId="885">
    <w:name w:val="Верхний колонтитул"/>
    <w:basedOn w:val="880"/>
    <w:next w:val="885"/>
    <w:link w:val="880"/>
    <w:pPr>
      <w:tabs>
        <w:tab w:val="center" w:pos="4677" w:leader="none"/>
        <w:tab w:val="right" w:pos="9355" w:leader="none"/>
      </w:tabs>
    </w:pPr>
  </w:style>
  <w:style w:type="paragraph" w:styleId="886">
    <w:name w:val="Текст выноски"/>
    <w:basedOn w:val="880"/>
    <w:next w:val="886"/>
    <w:link w:val="880"/>
    <w:semiHidden/>
    <w:rPr>
      <w:rFonts w:ascii="Tahoma" w:hAnsi="Tahoma" w:cs="Tahoma"/>
      <w:sz w:val="16"/>
      <w:szCs w:val="16"/>
    </w:rPr>
  </w:style>
  <w:style w:type="character" w:styleId="887">
    <w:name w:val="Номер страницы"/>
    <w:basedOn w:val="882"/>
    <w:next w:val="887"/>
    <w:link w:val="880"/>
  </w:style>
  <w:style w:type="character" w:styleId="888">
    <w:name w:val="Цветовое выделение"/>
    <w:next w:val="888"/>
    <w:link w:val="880"/>
    <w:rPr>
      <w:b/>
      <w:color w:val="26282f"/>
      <w:sz w:val="26"/>
    </w:rPr>
  </w:style>
  <w:style w:type="paragraph" w:styleId="889">
    <w:name w:val="Нормальный (таблица)"/>
    <w:basedOn w:val="880"/>
    <w:next w:val="880"/>
    <w:link w:val="880"/>
    <w:pPr>
      <w:jc w:val="both"/>
      <w:widowControl w:val="off"/>
    </w:pPr>
    <w:rPr>
      <w:rFonts w:ascii="Arial" w:hAnsi="Arial"/>
    </w:rPr>
  </w:style>
  <w:style w:type="paragraph" w:styleId="890">
    <w:name w:val="Прижатый влево"/>
    <w:basedOn w:val="880"/>
    <w:next w:val="880"/>
    <w:link w:val="880"/>
    <w:pPr>
      <w:widowControl w:val="off"/>
    </w:pPr>
    <w:rPr>
      <w:rFonts w:ascii="Arial" w:hAnsi="Arial"/>
    </w:rPr>
  </w:style>
  <w:style w:type="table" w:styleId="891">
    <w:name w:val="Сетка таблицы"/>
    <w:basedOn w:val="883"/>
    <w:next w:val="891"/>
    <w:link w:val="880"/>
    <w:tblPr/>
  </w:style>
  <w:style w:type="character" w:styleId="892" w:default="1">
    <w:name w:val="Default Paragraph Font"/>
    <w:uiPriority w:val="1"/>
    <w:semiHidden/>
    <w:unhideWhenUsed/>
  </w:style>
  <w:style w:type="numbering" w:styleId="893" w:default="1">
    <w:name w:val="No List"/>
    <w:uiPriority w:val="99"/>
    <w:semiHidden/>
    <w:unhideWhenUsed/>
  </w:style>
  <w:style w:type="table" w:styleId="894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header" Target="header3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Финансовое управление ДФБК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«ПРИЛОЖЕНИЕ № 2</dc:title>
  <dc:creator>d31140</dc:creator>
  <cp:revision>19</cp:revision>
  <dcterms:created xsi:type="dcterms:W3CDTF">2024-11-10T15:42:00Z</dcterms:created>
  <dcterms:modified xsi:type="dcterms:W3CDTF">2025-12-29T12:10:07Z</dcterms:modified>
  <cp:version>917504</cp:version>
</cp:coreProperties>
</file>